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6"/>
        <w:gridCol w:w="61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分成比例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合作期限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exact"/>
          <w:jc w:val="center"/>
        </w:trPr>
        <w:tc>
          <w:tcPr>
            <w:tcW w:w="2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租金最低限价为按“票房净收入*分成比例”为实际租金，至少每五年递增一次，每次递增比例不低于1%。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2.租金优惠期为3年，租金优惠期内租金按200元/月收取，如有其他费用按实缴纳。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3.租金缴纳方式：按季度结算支付。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4.按分成比例结算的租金含物业管理费但不包括其他费用；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票房净收入=票房-国家电影专项基金-税收及附加。</w:t>
            </w:r>
          </w:p>
          <w:p>
            <w:pPr>
              <w:jc w:val="both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5.物业管理费按3元/㎡/月标准缴纳。</w:t>
            </w:r>
          </w:p>
        </w:tc>
      </w:tr>
    </w:tbl>
    <w:p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ODY1ZDE5ODhkM2NhNTdkZmY4YmI1MTQ2OGY2YzEifQ=="/>
    <w:docVar w:name="KSO_WPS_MARK_KEY" w:val="0c15495c-26f4-48ad-9c3f-ff6787cde8af"/>
  </w:docVars>
  <w:rsids>
    <w:rsidRoot w:val="50022DB4"/>
    <w:rsid w:val="5002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351</Characters>
  <Lines>0</Lines>
  <Paragraphs>0</Paragraphs>
  <TotalTime>0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2024-05-14T06:59:00Z</dcterms:created>
  <dc:creator>给个萝卜吃吃</dc:creator>
  <cp:lastModifiedBy>给个萝卜吃吃</cp:lastModifiedBy>
  <dcterms:modified xsi:type="dcterms:W3CDTF">2024-05-14T06:59:56Z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26AC5C89A3414383881F153674502AE7_11</vt:lpwstr>
  </property>
</Properties>
</file>